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D6EA" w14:textId="2ED0BAF5" w:rsidR="00745069" w:rsidRPr="00BA7F1E" w:rsidRDefault="00745069" w:rsidP="00C0223D">
      <w:pPr>
        <w:contextualSpacing/>
      </w:pPr>
      <w:bookmarkStart w:id="0" w:name="_Hlk109036111"/>
      <w:r>
        <w:t xml:space="preserve"> </w:t>
      </w:r>
    </w:p>
    <w:bookmarkEnd w:id="0"/>
    <w:p w14:paraId="32812F6B" w14:textId="29B9F0DD" w:rsidR="00642385" w:rsidRPr="00BA7F1E" w:rsidRDefault="00642385" w:rsidP="00642385">
      <w:pPr>
        <w:pStyle w:val="Heading1"/>
        <w:spacing w:before="60" w:line="240" w:lineRule="exact"/>
        <w:rPr>
          <w:rFonts w:ascii="Times New Roman" w:hAnsi="Times New Roman"/>
        </w:rPr>
      </w:pPr>
      <w:r w:rsidRPr="00BA7F1E">
        <w:rPr>
          <w:rFonts w:ascii="Times New Roman" w:hAnsi="Times New Roman"/>
        </w:rPr>
        <w:t xml:space="preserve">Notificación de </w:t>
      </w:r>
      <w:r w:rsidR="0003443F">
        <w:rPr>
          <w:rFonts w:ascii="Times New Roman" w:hAnsi="Times New Roman"/>
        </w:rPr>
        <w:t>N</w:t>
      </w:r>
      <w:r w:rsidRPr="00BA7F1E">
        <w:rPr>
          <w:rFonts w:ascii="Times New Roman" w:hAnsi="Times New Roman"/>
        </w:rPr>
        <w:t xml:space="preserve">o </w:t>
      </w:r>
      <w:r w:rsidR="0003443F">
        <w:rPr>
          <w:rFonts w:ascii="Times New Roman" w:hAnsi="Times New Roman"/>
        </w:rPr>
        <w:t>C</w:t>
      </w:r>
      <w:r w:rsidRPr="00BA7F1E">
        <w:rPr>
          <w:rFonts w:ascii="Times New Roman" w:hAnsi="Times New Roman"/>
        </w:rPr>
        <w:t>obertura de Medicare</w:t>
      </w:r>
    </w:p>
    <w:p w14:paraId="2104EB86" w14:textId="18643694" w:rsidR="00642385" w:rsidRPr="00BA7F1E" w:rsidRDefault="00642385" w:rsidP="00642385">
      <w:pPr>
        <w:pStyle w:val="Heading2"/>
        <w:ind w:firstLine="450"/>
        <w:rPr>
          <w:rFonts w:ascii="Times New Roman" w:hAnsi="Times New Roman"/>
        </w:rPr>
      </w:pPr>
      <w:r w:rsidRPr="00BA7F1E">
        <w:rPr>
          <w:rFonts w:ascii="Times New Roman" w:hAnsi="Times New Roman"/>
        </w:rPr>
        <w:t>Nombre del paciente</w:t>
      </w:r>
      <w:bookmarkStart w:id="1" w:name="_Hlk109036043"/>
      <w:r w:rsidRPr="00BA7F1E">
        <w:rPr>
          <w:rFonts w:ascii="Times New Roman" w:hAnsi="Times New Roman"/>
        </w:rPr>
        <w:t xml:space="preserve">: </w:t>
      </w:r>
      <w:r w:rsidRPr="00BA7F1E">
        <w:rPr>
          <w:rFonts w:ascii="Times New Roman" w:hAnsi="Times New Roman"/>
          <w:color w:val="FF0000"/>
        </w:rPr>
        <w:t>&lt;Member Name&gt;</w:t>
      </w:r>
      <w:bookmarkEnd w:id="1"/>
      <w:r w:rsidRPr="00BA7F1E">
        <w:rPr>
          <w:rFonts w:ascii="Times New Roman" w:hAnsi="Times New Roman"/>
        </w:rPr>
        <w:tab/>
      </w:r>
      <w:r w:rsidRPr="00BA7F1E">
        <w:rPr>
          <w:rFonts w:ascii="Times New Roman" w:hAnsi="Times New Roman"/>
        </w:rPr>
        <w:tab/>
      </w:r>
      <w:r w:rsidRPr="00BA7F1E">
        <w:rPr>
          <w:rFonts w:ascii="Times New Roman" w:hAnsi="Times New Roman"/>
        </w:rPr>
        <w:tab/>
        <w:t xml:space="preserve">Número de paciente: </w:t>
      </w:r>
      <w:bookmarkStart w:id="2" w:name="_Hlk109036055"/>
      <w:r w:rsidRPr="00BA7F1E">
        <w:rPr>
          <w:rFonts w:ascii="Times New Roman" w:hAnsi="Times New Roman"/>
          <w:color w:val="FF0000"/>
        </w:rPr>
        <w:t>&lt;IEHP Member ID&gt;</w:t>
      </w:r>
      <w:bookmarkEnd w:id="2"/>
    </w:p>
    <w:p w14:paraId="57797294" w14:textId="77777777" w:rsidR="003A1866" w:rsidRPr="00BA7F1E" w:rsidRDefault="003A1866" w:rsidP="003A1866"/>
    <w:p w14:paraId="3ADB3A5D" w14:textId="77777777" w:rsidR="00FE3228" w:rsidRPr="00666E7E" w:rsidRDefault="00FE3228" w:rsidP="00FE3228">
      <w:pPr>
        <w:jc w:val="center"/>
        <w:rPr>
          <w:b/>
          <w:bCs/>
          <w:sz w:val="28"/>
          <w:szCs w:val="28"/>
        </w:rPr>
      </w:pPr>
      <w:r w:rsidRPr="00666E7E">
        <w:rPr>
          <w:b/>
          <w:sz w:val="28"/>
        </w:rPr>
        <w:t>La cobertura de sus servicios</w:t>
      </w:r>
      <w:r>
        <w:rPr>
          <w:b/>
          <w:sz w:val="28"/>
        </w:rPr>
        <w:t xml:space="preserve"> </w:t>
      </w:r>
      <w:r w:rsidRPr="00666E7E">
        <w:rPr>
          <w:b/>
          <w:sz w:val="28"/>
        </w:rPr>
        <w:t>actuales de Medicare</w:t>
      </w:r>
    </w:p>
    <w:p w14:paraId="11FE5B5E" w14:textId="0BB5841F" w:rsidR="003A1866" w:rsidRPr="00BA7F1E" w:rsidRDefault="003A1866" w:rsidP="003A1866">
      <w:pPr>
        <w:jc w:val="center"/>
        <w:rPr>
          <w:b/>
          <w:bCs/>
          <w:sz w:val="28"/>
          <w:szCs w:val="28"/>
        </w:rPr>
      </w:pPr>
      <w:r w:rsidRPr="00BA7F1E">
        <w:rPr>
          <w:b/>
          <w:sz w:val="28"/>
        </w:rPr>
        <w:t>&lt;insert type&gt; finalizará el &lt;insert effective date&gt;</w:t>
      </w:r>
    </w:p>
    <w:p w14:paraId="308AB81A" w14:textId="3D23817B" w:rsidR="00642385" w:rsidRPr="00BA7F1E" w:rsidRDefault="00642385" w:rsidP="00642385">
      <w:pPr>
        <w:spacing w:line="160" w:lineRule="exact"/>
      </w:pPr>
    </w:p>
    <w:p w14:paraId="397AD203" w14:textId="7EAE7D85" w:rsidR="00642385" w:rsidRPr="00BA7F1E" w:rsidRDefault="00642385" w:rsidP="003A1866">
      <w:pPr>
        <w:pStyle w:val="Bullet1"/>
        <w:tabs>
          <w:tab w:val="clear" w:pos="90"/>
          <w:tab w:val="left" w:pos="1080"/>
        </w:tabs>
        <w:spacing w:before="120"/>
        <w:ind w:right="720"/>
        <w:contextualSpacing/>
        <w:rPr>
          <w:rFonts w:ascii="Times New Roman" w:hAnsi="Times New Roman"/>
        </w:rPr>
      </w:pPr>
      <w:r w:rsidRPr="00BA7F1E">
        <w:rPr>
          <w:rFonts w:ascii="Times New Roman" w:hAnsi="Times New Roman"/>
        </w:rPr>
        <w:t xml:space="preserve">Su proveedor o plan de salud determinó que Medicare probablemente no pagará sus servicios </w:t>
      </w:r>
      <w:r w:rsidR="003A1866" w:rsidRPr="00BA7F1E">
        <w:rPr>
          <w:rFonts w:ascii="Times New Roman" w:hAnsi="Times New Roman"/>
          <w:b/>
          <w:bCs w:val="0"/>
        </w:rPr>
        <w:t>&lt;insert type&gt;</w:t>
      </w:r>
      <w:r w:rsidRPr="00BA7F1E">
        <w:rPr>
          <w:rFonts w:ascii="Times New Roman" w:hAnsi="Times New Roman"/>
        </w:rPr>
        <w:t xml:space="preserve"> después de la fecha antes indicada. Es posible que tenga que pagar cualquier servicio que reciba después de esta fecha.</w:t>
      </w:r>
    </w:p>
    <w:p w14:paraId="37D7A1CB" w14:textId="0712452A" w:rsidR="00642385" w:rsidRPr="00BA7F1E" w:rsidRDefault="00642385" w:rsidP="00642385">
      <w:pPr>
        <w:spacing w:line="160" w:lineRule="exact"/>
      </w:pPr>
    </w:p>
    <w:p w14:paraId="6666C761" w14:textId="610BEB4D" w:rsidR="00642385" w:rsidRPr="00BA7F1E" w:rsidRDefault="00642385" w:rsidP="003A1866">
      <w:pPr>
        <w:pStyle w:val="Body1"/>
        <w:spacing w:before="120" w:after="60"/>
        <w:rPr>
          <w:rFonts w:ascii="Times New Roman" w:hAnsi="Times New Roman"/>
          <w:b/>
          <w:bCs w:val="0"/>
        </w:rPr>
      </w:pPr>
      <w:r w:rsidRPr="00BA7F1E">
        <w:rPr>
          <w:rFonts w:ascii="Times New Roman" w:hAnsi="Times New Roman"/>
          <w:b/>
        </w:rPr>
        <w:t xml:space="preserve">Su derecho a apelar esta decisión </w:t>
      </w:r>
    </w:p>
    <w:p w14:paraId="67FEC80B" w14:textId="77777777" w:rsidR="003A1866" w:rsidRPr="00BA7F1E" w:rsidRDefault="003A1866" w:rsidP="003A1866">
      <w:pPr>
        <w:pStyle w:val="Bullet4"/>
        <w:rPr>
          <w:rFonts w:ascii="Times New Roman" w:hAnsi="Times New Roman" w:cs="Times New Roman"/>
          <w:snapToGrid w:val="0"/>
          <w:szCs w:val="20"/>
        </w:rPr>
      </w:pPr>
      <w:r w:rsidRPr="00BA7F1E">
        <w:rPr>
          <w:rFonts w:ascii="Times New Roman" w:hAnsi="Times New Roman"/>
          <w:snapToGrid w:val="0"/>
        </w:rPr>
        <w:t>Usted tiene derecho a apelar la decisión de finalizar la cobertura de Medicare de sus servicios. Esto significa que recibirá una revisión médica independiente de inmediato. Sus servicios continuarán durante la apelación.</w:t>
      </w:r>
    </w:p>
    <w:p w14:paraId="3B36F405" w14:textId="77777777" w:rsidR="003A1866" w:rsidRPr="00BA7F1E" w:rsidRDefault="003A1866" w:rsidP="003A1866">
      <w:pPr>
        <w:pStyle w:val="Bullet4"/>
        <w:rPr>
          <w:rFonts w:ascii="Times New Roman" w:hAnsi="Times New Roman" w:cs="Times New Roman"/>
          <w:snapToGrid w:val="0"/>
          <w:szCs w:val="20"/>
        </w:rPr>
      </w:pPr>
      <w:r w:rsidRPr="00BA7F1E">
        <w:rPr>
          <w:rFonts w:ascii="Times New Roman" w:hAnsi="Times New Roman"/>
          <w:snapToGrid w:val="0"/>
        </w:rPr>
        <w:t xml:space="preserve">Si decide apelar, el revisor independiente le pedirá su opinión. No tiene que preparar nada por escrito, pero tiene derecho a hacerlo. El revisor también revisará sus expedientes médicos u otra información pertinente. </w:t>
      </w:r>
    </w:p>
    <w:p w14:paraId="234BD33B" w14:textId="77777777" w:rsidR="003A1866" w:rsidRPr="00BA7F1E" w:rsidRDefault="003A1866" w:rsidP="003A1866">
      <w:pPr>
        <w:pStyle w:val="Bullet4"/>
        <w:rPr>
          <w:rFonts w:ascii="Times New Roman" w:hAnsi="Times New Roman" w:cs="Times New Roman"/>
          <w:snapToGrid w:val="0"/>
          <w:szCs w:val="20"/>
        </w:rPr>
      </w:pPr>
      <w:r w:rsidRPr="00BA7F1E">
        <w:rPr>
          <w:rFonts w:ascii="Times New Roman" w:hAnsi="Times New Roman"/>
          <w:snapToGrid w:val="0"/>
        </w:rPr>
        <w:t xml:space="preserve">Una vez que solicite una apelación, recibirá un aviso con una explicación detallada sobre por qué se debe dar por terminada la cobertura de su servicio. </w:t>
      </w:r>
    </w:p>
    <w:p w14:paraId="6B658817" w14:textId="77777777" w:rsidR="003A1866" w:rsidRPr="00BA7F1E" w:rsidRDefault="003A1866" w:rsidP="003A1866">
      <w:pPr>
        <w:pStyle w:val="Bullet4"/>
        <w:rPr>
          <w:rFonts w:ascii="Times New Roman" w:hAnsi="Times New Roman" w:cs="Times New Roman"/>
          <w:snapToGrid w:val="0"/>
          <w:szCs w:val="20"/>
        </w:rPr>
      </w:pPr>
      <w:r w:rsidRPr="00BA7F1E">
        <w:rPr>
          <w:rFonts w:ascii="Times New Roman" w:hAnsi="Times New Roman"/>
          <w:snapToGrid w:val="0"/>
        </w:rPr>
        <w:t>Si el revisor independiente está de acuerdo en que la cobertura de Medicare para sus servicios debe finalizar, ni Medicare ni su plan pagarán estos servicios después de la fecha antes indicada.</w:t>
      </w:r>
    </w:p>
    <w:p w14:paraId="580FA3EC" w14:textId="1F53C2D1" w:rsidR="003A1866" w:rsidRPr="00BA7F1E" w:rsidRDefault="003A1866" w:rsidP="003A1866">
      <w:pPr>
        <w:pStyle w:val="Bullet4"/>
        <w:rPr>
          <w:rFonts w:ascii="Times New Roman" w:hAnsi="Times New Roman" w:cs="Times New Roman"/>
          <w:snapToGrid w:val="0"/>
          <w:szCs w:val="20"/>
        </w:rPr>
      </w:pPr>
      <w:r w:rsidRPr="00BA7F1E">
        <w:rPr>
          <w:rFonts w:ascii="Times New Roman" w:hAnsi="Times New Roman"/>
          <w:snapToGrid w:val="0"/>
        </w:rPr>
        <w:t xml:space="preserve">Si suspende los servicios antes de la fecha antes indicada, evitará ser financieramente responsable. </w:t>
      </w:r>
    </w:p>
    <w:p w14:paraId="0B55A8CB" w14:textId="4D9A4BEA" w:rsidR="00642385" w:rsidRPr="00BA7F1E" w:rsidRDefault="00642385" w:rsidP="00642385">
      <w:pPr>
        <w:spacing w:line="160" w:lineRule="exact"/>
        <w:rPr>
          <w:rFonts w:cs="Arial"/>
        </w:rPr>
      </w:pPr>
    </w:p>
    <w:p w14:paraId="703927D2" w14:textId="27993F70" w:rsidR="00642385" w:rsidRPr="00BA7F1E" w:rsidRDefault="00642385" w:rsidP="003A1866">
      <w:pPr>
        <w:pStyle w:val="Body2"/>
        <w:spacing w:after="60"/>
        <w:ind w:left="0"/>
        <w:rPr>
          <w:rFonts w:ascii="Times New Roman" w:hAnsi="Times New Roman"/>
          <w:b/>
          <w:bCs/>
        </w:rPr>
      </w:pPr>
      <w:r w:rsidRPr="00BA7F1E">
        <w:rPr>
          <w:rFonts w:ascii="Times New Roman" w:hAnsi="Times New Roman"/>
          <w:b/>
        </w:rPr>
        <w:t>Cómo solicitar una apelación inmediata</w:t>
      </w:r>
    </w:p>
    <w:p w14:paraId="10DAFA74" w14:textId="77777777" w:rsidR="006379D0" w:rsidRPr="00BA7F1E" w:rsidRDefault="006379D0" w:rsidP="006379D0">
      <w:pPr>
        <w:pStyle w:val="Bullet4"/>
        <w:rPr>
          <w:rFonts w:cs="Times New Roman"/>
          <w:b/>
          <w:bCs/>
        </w:rPr>
      </w:pPr>
      <w:r w:rsidRPr="00BA7F1E">
        <w:rPr>
          <w:rFonts w:ascii="Times New Roman" w:hAnsi="Times New Roman"/>
        </w:rPr>
        <w:t xml:space="preserve">Solicite la apelación lo antes posible. </w:t>
      </w:r>
      <w:r w:rsidRPr="00BA7F1E">
        <w:rPr>
          <w:rFonts w:ascii="Times New Roman" w:hAnsi="Times New Roman"/>
          <w:b/>
          <w:bCs/>
        </w:rPr>
        <w:t>Debe solicitar una apelación oportuna a más tardar al mediodía del día anterior a la fecha antes indicada.</w:t>
      </w:r>
    </w:p>
    <w:p w14:paraId="6E24852F" w14:textId="77777777" w:rsidR="006379D0" w:rsidRPr="00BA7F1E" w:rsidRDefault="006379D0" w:rsidP="006379D0">
      <w:pPr>
        <w:pStyle w:val="Bullet4"/>
      </w:pPr>
      <w:r w:rsidRPr="00BA7F1E">
        <w:rPr>
          <w:rFonts w:ascii="Times New Roman" w:hAnsi="Times New Roman"/>
        </w:rPr>
        <w:t>Haga su solicitud a su Organización para la Optimización de la Calidad (Quality Improvement Organization, QIO). Una QIO es el revisor independiente autorizado por Medicare.</w:t>
      </w:r>
    </w:p>
    <w:p w14:paraId="4AE5EEDD" w14:textId="77777777" w:rsidR="006379D0" w:rsidRPr="00BA7F1E" w:rsidRDefault="006379D0" w:rsidP="006379D0">
      <w:pPr>
        <w:pStyle w:val="Bullet4"/>
      </w:pPr>
      <w:r w:rsidRPr="00BA7F1E">
        <w:rPr>
          <w:rFonts w:ascii="Times New Roman" w:hAnsi="Times New Roman"/>
          <w:b/>
        </w:rPr>
        <w:t>Si no cumple con el plazo</w:t>
      </w:r>
      <w:r w:rsidRPr="00BA7F1E">
        <w:rPr>
          <w:rFonts w:ascii="Times New Roman" w:hAnsi="Times New Roman"/>
        </w:rPr>
        <w:t xml:space="preserve"> para solicitar una apelación inmediata, es posible que aún tenga derechos de apelación.</w:t>
      </w:r>
    </w:p>
    <w:p w14:paraId="7CAD1C79" w14:textId="5058D278" w:rsidR="00337AC4" w:rsidRPr="00BA7F1E" w:rsidRDefault="00642385" w:rsidP="00337AC4">
      <w:pPr>
        <w:pStyle w:val="Bullet4"/>
      </w:pPr>
      <w:r w:rsidRPr="00BA7F1E">
        <w:rPr>
          <w:rFonts w:ascii="Times New Roman" w:hAnsi="Times New Roman"/>
        </w:rPr>
        <w:t xml:space="preserve">Llame a su QIO en </w:t>
      </w:r>
      <w:r w:rsidRPr="00BA7F1E">
        <w:rPr>
          <w:rFonts w:ascii="Times New Roman" w:hAnsi="Times New Roman"/>
          <w:b/>
          <w:bCs/>
        </w:rPr>
        <w:t>Livanta BFCC-QIO al 1-877-588-1123 (TTY/TDD: 1-855-887-6668)</w:t>
      </w:r>
      <w:r w:rsidRPr="00BA7F1E">
        <w:rPr>
          <w:rFonts w:ascii="Times New Roman" w:hAnsi="Times New Roman"/>
        </w:rPr>
        <w:t xml:space="preserve"> para apelar o si tiene preguntas.</w:t>
      </w:r>
    </w:p>
    <w:p w14:paraId="62FD113B" w14:textId="77777777" w:rsidR="00337AC4" w:rsidRPr="00BA7F1E" w:rsidRDefault="00337AC4" w:rsidP="00337AC4">
      <w:pPr>
        <w:pStyle w:val="Bullet4"/>
        <w:numPr>
          <w:ilvl w:val="0"/>
          <w:numId w:val="0"/>
        </w:numPr>
      </w:pPr>
    </w:p>
    <w:p w14:paraId="0706AD41" w14:textId="481CB490" w:rsidR="006379D0" w:rsidRPr="00BA7F1E" w:rsidRDefault="006379D0" w:rsidP="006379D0">
      <w:pPr>
        <w:pStyle w:val="Body2"/>
        <w:spacing w:after="60"/>
        <w:ind w:left="0"/>
        <w:rPr>
          <w:rFonts w:ascii="Times New Roman" w:hAnsi="Times New Roman"/>
          <w:b/>
          <w:bCs/>
        </w:rPr>
      </w:pPr>
      <w:r w:rsidRPr="00BA7F1E">
        <w:rPr>
          <w:rFonts w:ascii="Times New Roman" w:hAnsi="Times New Roman"/>
          <w:b/>
        </w:rPr>
        <w:lastRenderedPageBreak/>
        <w:t>¿Qué sigue?</w:t>
      </w:r>
    </w:p>
    <w:p w14:paraId="797F9C01" w14:textId="6F82B2C7" w:rsidR="006379D0" w:rsidRPr="00BA7F1E" w:rsidRDefault="006379D0" w:rsidP="006379D0">
      <w:pPr>
        <w:pStyle w:val="Bullet4"/>
        <w:rPr>
          <w:rFonts w:ascii="Times New Roman" w:hAnsi="Times New Roman" w:cs="Times New Roman"/>
          <w:b/>
          <w:bCs/>
        </w:rPr>
      </w:pPr>
      <w:r w:rsidRPr="00BA7F1E">
        <w:rPr>
          <w:rFonts w:ascii="Times New Roman" w:hAnsi="Times New Roman"/>
        </w:rPr>
        <w:t>La QIO le informará de su decisión lo antes posible, generalmente a más tardar dos días después de la fecha de vigencia antes indicada. Si está en un plan de salud de Medicare, la QIO generalmente le informará de su decisión antes de la fecha de vigencia antes indicada.</w:t>
      </w:r>
    </w:p>
    <w:p w14:paraId="26313F73" w14:textId="36E4CD4E" w:rsidR="006379D0" w:rsidRPr="00BA7F1E" w:rsidRDefault="006379D0" w:rsidP="006379D0">
      <w:pPr>
        <w:pStyle w:val="Bullet4"/>
      </w:pPr>
      <w:r w:rsidRPr="00BA7F1E">
        <w:rPr>
          <w:rFonts w:ascii="Times New Roman" w:hAnsi="Times New Roman"/>
        </w:rPr>
        <w:t>Llame a su QIO en Livanta BFCC-QIO al 1-877-588-1123 (TTY/TDD: 1-855-887-6668) para obtener más información.</w:t>
      </w:r>
    </w:p>
    <w:p w14:paraId="45D3AE6F" w14:textId="77777777" w:rsidR="00642385" w:rsidRPr="00BA7F1E" w:rsidRDefault="00642385" w:rsidP="00642385">
      <w:pPr>
        <w:pStyle w:val="Body5"/>
      </w:pPr>
    </w:p>
    <w:p w14:paraId="64D7BA1B" w14:textId="579F1196" w:rsidR="00642385" w:rsidRPr="00BA7F1E" w:rsidRDefault="00642385" w:rsidP="00345CC4">
      <w:pPr>
        <w:pStyle w:val="Body5"/>
        <w:rPr>
          <w:rFonts w:ascii="Times New Roman" w:hAnsi="Times New Roman" w:cs="Times New Roman"/>
          <w:b/>
          <w:bCs/>
        </w:rPr>
      </w:pPr>
      <w:r w:rsidRPr="00BA7F1E">
        <w:rPr>
          <w:rFonts w:ascii="Times New Roman" w:hAnsi="Times New Roman"/>
          <w:b/>
        </w:rPr>
        <w:t>Información de contacto del plan:</w:t>
      </w:r>
    </w:p>
    <w:p w14:paraId="2A364A43" w14:textId="71E3FCCF" w:rsidR="00642385" w:rsidRPr="00BA7F1E" w:rsidRDefault="00642385" w:rsidP="00345CC4">
      <w:pPr>
        <w:pStyle w:val="Body5"/>
        <w:rPr>
          <w:rFonts w:ascii="Times New Roman" w:hAnsi="Times New Roman" w:cs="Times New Roman"/>
          <w:sz w:val="24"/>
          <w:szCs w:val="24"/>
          <w:lang w:val="en-US"/>
        </w:rPr>
      </w:pPr>
      <w:bookmarkStart w:id="3" w:name="_Hlk109723998"/>
      <w:r w:rsidRPr="00BA7F1E">
        <w:rPr>
          <w:rFonts w:ascii="Times New Roman" w:hAnsi="Times New Roman"/>
          <w:sz w:val="24"/>
          <w:lang w:val="en-US"/>
        </w:rPr>
        <w:t>IEHP DualChoice (HMO D-SNP)</w:t>
      </w:r>
    </w:p>
    <w:p w14:paraId="7FCBBBE9" w14:textId="77777777" w:rsidR="00642385" w:rsidRPr="00BA7F1E" w:rsidRDefault="00642385" w:rsidP="00345CC4">
      <w:pPr>
        <w:pStyle w:val="Body5"/>
        <w:rPr>
          <w:rFonts w:ascii="Times New Roman" w:hAnsi="Times New Roman" w:cs="Times New Roman"/>
          <w:sz w:val="24"/>
          <w:szCs w:val="24"/>
        </w:rPr>
      </w:pPr>
      <w:r w:rsidRPr="00BA7F1E">
        <w:rPr>
          <w:rFonts w:ascii="Times New Roman" w:hAnsi="Times New Roman"/>
          <w:sz w:val="24"/>
        </w:rPr>
        <w:t xml:space="preserve">P.O. Box 1800  </w:t>
      </w:r>
    </w:p>
    <w:p w14:paraId="45F4D61A" w14:textId="77777777" w:rsidR="00642385" w:rsidRPr="00BA7F1E" w:rsidRDefault="00642385" w:rsidP="00345CC4">
      <w:pPr>
        <w:pStyle w:val="Body5"/>
        <w:rPr>
          <w:rFonts w:ascii="Times New Roman" w:hAnsi="Times New Roman" w:cs="Times New Roman"/>
          <w:sz w:val="24"/>
          <w:szCs w:val="24"/>
        </w:rPr>
      </w:pPr>
      <w:r w:rsidRPr="00BA7F1E">
        <w:rPr>
          <w:rFonts w:ascii="Times New Roman" w:hAnsi="Times New Roman"/>
          <w:sz w:val="24"/>
        </w:rPr>
        <w:t>Rancho Cucamonga, CA 91729-4259</w:t>
      </w:r>
    </w:p>
    <w:p w14:paraId="0506FEDA" w14:textId="4B059838" w:rsidR="00345CC4" w:rsidRPr="00BA7F1E" w:rsidRDefault="00642385" w:rsidP="00345CC4">
      <w:pPr>
        <w:pStyle w:val="Body5"/>
        <w:rPr>
          <w:rFonts w:ascii="Times New Roman" w:hAnsi="Times New Roman" w:cs="Times New Roman"/>
          <w:sz w:val="24"/>
          <w:szCs w:val="24"/>
        </w:rPr>
      </w:pPr>
      <w:r w:rsidRPr="00BA7F1E">
        <w:rPr>
          <w:rFonts w:ascii="Times New Roman" w:hAnsi="Times New Roman"/>
          <w:b/>
          <w:sz w:val="24"/>
        </w:rPr>
        <w:t>1-877-273-IEHP (4347)</w:t>
      </w:r>
      <w:r w:rsidRPr="00BA7F1E">
        <w:rPr>
          <w:rFonts w:ascii="Times New Roman" w:hAnsi="Times New Roman"/>
          <w:sz w:val="24"/>
        </w:rPr>
        <w:t xml:space="preserve">, de 8am a 8pm (Hora del Pacífico), los 7 días de la semana, incluidos los días festivos. Los usuarios de TTY/TDD deben llamar al </w:t>
      </w:r>
      <w:r w:rsidRPr="00BA7F1E">
        <w:rPr>
          <w:rFonts w:ascii="Times New Roman" w:hAnsi="Times New Roman"/>
          <w:b/>
          <w:sz w:val="24"/>
        </w:rPr>
        <w:t>1-800-718-4347</w:t>
      </w:r>
      <w:r w:rsidRPr="00BA7F1E">
        <w:rPr>
          <w:rFonts w:ascii="Times New Roman" w:hAnsi="Times New Roman"/>
          <w:sz w:val="24"/>
          <w:szCs w:val="24"/>
        </w:rPr>
        <w:t>.</w:t>
      </w:r>
    </w:p>
    <w:bookmarkEnd w:id="3"/>
    <w:p w14:paraId="7E2AC4F2" w14:textId="77777777" w:rsidR="00642385" w:rsidRPr="00BA7F1E" w:rsidRDefault="00642385" w:rsidP="00642385">
      <w:pPr>
        <w:pStyle w:val="Body5"/>
      </w:pPr>
    </w:p>
    <w:p w14:paraId="49D2653C" w14:textId="0F5C9B76" w:rsidR="00642385" w:rsidRPr="00BA7F1E" w:rsidRDefault="00642385" w:rsidP="00642385">
      <w:pPr>
        <w:pStyle w:val="Body5"/>
        <w:rPr>
          <w:rFonts w:ascii="Times New Roman" w:hAnsi="Times New Roman" w:cs="Times New Roman"/>
          <w:b/>
          <w:bCs/>
        </w:rPr>
      </w:pPr>
      <w:r w:rsidRPr="00BA7F1E">
        <w:rPr>
          <w:rFonts w:ascii="Times New Roman" w:hAnsi="Times New Roman"/>
          <w:b/>
        </w:rPr>
        <w:t>Información adicional (opcional):</w:t>
      </w:r>
    </w:p>
    <w:p w14:paraId="2782893D" w14:textId="77777777" w:rsidR="00642385" w:rsidRPr="00BA7F1E" w:rsidRDefault="00642385" w:rsidP="00642385">
      <w:pPr>
        <w:pStyle w:val="Body5"/>
        <w:rPr>
          <w:rFonts w:ascii="Times New Roman" w:hAnsi="Times New Roman" w:cs="Times New Roman"/>
          <w:color w:val="FF0000"/>
        </w:rPr>
      </w:pPr>
      <w:r w:rsidRPr="00BA7F1E">
        <w:rPr>
          <w:rFonts w:ascii="Times New Roman" w:hAnsi="Times New Roman"/>
          <w:color w:val="FF0000"/>
        </w:rPr>
        <w:t>&lt;free form from Member Template&gt;</w:t>
      </w:r>
    </w:p>
    <w:p w14:paraId="55D7A5DA" w14:textId="77777777" w:rsidR="00642385" w:rsidRPr="00BA7F1E" w:rsidRDefault="00642385" w:rsidP="00642385">
      <w:pPr>
        <w:pStyle w:val="Body5"/>
      </w:pPr>
    </w:p>
    <w:p w14:paraId="4D027AFB" w14:textId="77777777" w:rsidR="00642385" w:rsidRPr="00BA7F1E" w:rsidRDefault="00642385" w:rsidP="00642385">
      <w:pPr>
        <w:pStyle w:val="Body5"/>
      </w:pPr>
    </w:p>
    <w:p w14:paraId="7334C067" w14:textId="77777777" w:rsidR="00642385" w:rsidRPr="00BA7F1E" w:rsidRDefault="00642385" w:rsidP="00642385">
      <w:pPr>
        <w:pStyle w:val="Body5"/>
      </w:pPr>
    </w:p>
    <w:p w14:paraId="4FEEB145" w14:textId="77777777" w:rsidR="00642385" w:rsidRPr="00BA7F1E" w:rsidRDefault="00642385" w:rsidP="00642385">
      <w:pPr>
        <w:pStyle w:val="Body5"/>
      </w:pPr>
    </w:p>
    <w:p w14:paraId="1313810E" w14:textId="17372511" w:rsidR="00642385" w:rsidRPr="00BA7F1E" w:rsidRDefault="00642385" w:rsidP="00642385">
      <w:pPr>
        <w:pStyle w:val="Body5"/>
      </w:pPr>
    </w:p>
    <w:p w14:paraId="6E4AB985" w14:textId="77777777" w:rsidR="00642385" w:rsidRPr="00BA7F1E" w:rsidRDefault="00642385" w:rsidP="00642385">
      <w:pPr>
        <w:pStyle w:val="Body5"/>
      </w:pPr>
    </w:p>
    <w:p w14:paraId="20A919BA" w14:textId="0C728010" w:rsidR="00642385" w:rsidRPr="00BA7F1E" w:rsidRDefault="00345CC4" w:rsidP="00642385">
      <w:pPr>
        <w:pStyle w:val="Body5"/>
        <w:rPr>
          <w:rFonts w:ascii="Times New Roman" w:hAnsi="Times New Roman" w:cs="Times New Roman"/>
          <w:b/>
          <w:bCs/>
        </w:rPr>
      </w:pPr>
      <w:r w:rsidRPr="00BA7F1E">
        <w:rPr>
          <w:rFonts w:ascii="Times New Roman" w:hAnsi="Times New Roman"/>
          <w:b/>
        </w:rPr>
        <w:t>Firme a continuación para indicar que recibió y comprendió este aviso.</w:t>
      </w:r>
    </w:p>
    <w:p w14:paraId="79F5D178" w14:textId="77777777" w:rsidR="00345CC4" w:rsidRPr="00BA7F1E" w:rsidRDefault="00345CC4" w:rsidP="00642385">
      <w:pPr>
        <w:pStyle w:val="Body5"/>
        <w:rPr>
          <w:rFonts w:ascii="Times New Roman" w:hAnsi="Times New Roman" w:cs="Times New Roman"/>
          <w:b/>
          <w:bCs/>
        </w:rPr>
      </w:pPr>
    </w:p>
    <w:p w14:paraId="124CA67A" w14:textId="0D1A7AAD" w:rsidR="00642385" w:rsidRPr="00BA7F1E" w:rsidRDefault="00642385" w:rsidP="00642385">
      <w:pPr>
        <w:pStyle w:val="Body5"/>
        <w:rPr>
          <w:rFonts w:ascii="Times New Roman" w:hAnsi="Times New Roman" w:cs="Times New Roman"/>
          <w:sz w:val="24"/>
          <w:szCs w:val="24"/>
        </w:rPr>
      </w:pPr>
      <w:r w:rsidRPr="00BA7F1E">
        <w:rPr>
          <w:rFonts w:ascii="Times New Roman" w:hAnsi="Times New Roman"/>
          <w:sz w:val="24"/>
        </w:rPr>
        <w:t xml:space="preserve">Se me notificó que la cobertura de mis servicios finalizará en la fecha indicada en este aviso y que puedo apelar esta decisión comunicándome con mi QIO. </w:t>
      </w:r>
    </w:p>
    <w:p w14:paraId="3E629FE0" w14:textId="0B888039" w:rsidR="00642385" w:rsidRPr="00BA7F1E" w:rsidRDefault="00642385"/>
    <w:p w14:paraId="0EABC2D5" w14:textId="6E5E1ABA" w:rsidR="00642385" w:rsidRPr="00BA7F1E" w:rsidRDefault="00642385"/>
    <w:p w14:paraId="2B343800" w14:textId="0D55172B" w:rsidR="00642385" w:rsidRPr="00BA7F1E" w:rsidRDefault="00642385"/>
    <w:p w14:paraId="146684D2" w14:textId="3C02289B" w:rsidR="00642385" w:rsidRPr="00BA7F1E" w:rsidRDefault="00642385"/>
    <w:p w14:paraId="39DCA49D" w14:textId="5B52828A" w:rsidR="00642385" w:rsidRPr="00BA7F1E" w:rsidRDefault="00642385">
      <w:r w:rsidRPr="00BA7F1E">
        <w:t>__________________________________________</w:t>
      </w:r>
      <w:r w:rsidR="001361CE" w:rsidRPr="00BA7F1E">
        <w:tab/>
      </w:r>
      <w:r w:rsidR="001361CE" w:rsidRPr="00BA7F1E">
        <w:tab/>
      </w:r>
      <w:r w:rsidR="001361CE" w:rsidRPr="00BA7F1E">
        <w:tab/>
      </w:r>
      <w:r w:rsidRPr="00BA7F1E">
        <w:t>__________________</w:t>
      </w:r>
    </w:p>
    <w:p w14:paraId="0EC1F25C" w14:textId="7F0E75B8" w:rsidR="00642385" w:rsidRPr="00BA7F1E" w:rsidRDefault="00642385">
      <w:r w:rsidRPr="00BA7F1E">
        <w:t>Firma del paciente o representante</w:t>
      </w:r>
      <w:r w:rsidRPr="00BA7F1E">
        <w:tab/>
      </w:r>
      <w:r w:rsidRPr="00BA7F1E">
        <w:tab/>
      </w:r>
      <w:r w:rsidRPr="00BA7F1E">
        <w:tab/>
      </w:r>
      <w:r w:rsidRPr="00BA7F1E">
        <w:tab/>
      </w:r>
      <w:r w:rsidRPr="00BA7F1E">
        <w:tab/>
      </w:r>
      <w:r w:rsidR="00BA7F1E">
        <w:tab/>
      </w:r>
      <w:r w:rsidRPr="00BA7F1E">
        <w:t>Fecha</w:t>
      </w:r>
    </w:p>
    <w:p w14:paraId="7C426AA2" w14:textId="77777777" w:rsidR="00345CC4" w:rsidRPr="00BA7F1E" w:rsidRDefault="00345CC4"/>
    <w:p w14:paraId="2B8E523C" w14:textId="4960D296" w:rsidR="00345CC4" w:rsidRPr="00BA7F1E" w:rsidRDefault="00345CC4">
      <w:r w:rsidRPr="00BA7F1E">
        <w:t xml:space="preserve">Tiene derecho a obtener su información en un formato accesible, como letra grande, braille o audio. También tiene derecho a presentar una queja si cree que sufrió discriminación. Visite </w:t>
      </w:r>
      <w:r w:rsidRPr="00BA7F1E">
        <w:rPr>
          <w:i/>
          <w:iCs/>
        </w:rPr>
        <w:t>Medicare.gov/about-us/accessibility-nondiscrimination-notice</w:t>
      </w:r>
      <w:r w:rsidRPr="00BA7F1E">
        <w:t xml:space="preserve"> o llame al 1-800-MEDICARE (1-800-633-4227) para obtener más información. Los usuarios de TTY pueden llamar al 1-877-486-2048.</w:t>
      </w:r>
    </w:p>
    <w:p w14:paraId="42119F7F" w14:textId="77777777" w:rsidR="00345CC4" w:rsidRPr="00BA7F1E" w:rsidRDefault="00345CC4"/>
    <w:p w14:paraId="38933B11" w14:textId="64CB9A1B" w:rsidR="00345CC4" w:rsidRPr="00BA7F1E" w:rsidRDefault="00345CC4" w:rsidP="00345CC4">
      <w:pPr>
        <w:pStyle w:val="Body5"/>
        <w:rPr>
          <w:rFonts w:ascii="Times New Roman" w:hAnsi="Times New Roman" w:cs="Times New Roman"/>
          <w:sz w:val="24"/>
          <w:szCs w:val="24"/>
        </w:rPr>
      </w:pPr>
      <w:r w:rsidRPr="00BA7F1E">
        <w:rPr>
          <w:rFonts w:ascii="Times New Roman" w:hAnsi="Times New Roman"/>
          <w:sz w:val="24"/>
        </w:rPr>
        <w:t>IEHP DualChoice (HMO D-SNP) es un plan HMO con un contrato con Medicare. La inscripción en IEHP DualChoice (HMO D-SNP) depende de la renovación del contrato.</w:t>
      </w:r>
    </w:p>
    <w:sectPr w:rsidR="00345CC4" w:rsidRPr="00BA7F1E" w:rsidSect="00642385">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3AAF" w14:textId="77777777" w:rsidR="00AF1031" w:rsidRDefault="00AF1031" w:rsidP="00642385">
      <w:r>
        <w:separator/>
      </w:r>
    </w:p>
  </w:endnote>
  <w:endnote w:type="continuationSeparator" w:id="0">
    <w:p w14:paraId="5D1791ED" w14:textId="77777777" w:rsidR="00AF1031" w:rsidRDefault="00AF1031" w:rsidP="0064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408F" w14:textId="2847A016" w:rsidR="00345CC4" w:rsidRPr="00345CC4" w:rsidRDefault="00345CC4" w:rsidP="00345CC4">
    <w:pPr>
      <w:pStyle w:val="Body3"/>
      <w:jc w:val="left"/>
      <w:rPr>
        <w:rFonts w:ascii="Times New Roman" w:hAnsi="Times New Roman" w:cs="Times New Roman"/>
        <w:b w:val="0"/>
        <w:sz w:val="20"/>
        <w:szCs w:val="20"/>
      </w:rPr>
    </w:pPr>
    <w:r>
      <w:rPr>
        <w:rFonts w:ascii="Times New Roman" w:hAnsi="Times New Roman"/>
        <w:b w:val="0"/>
        <w:sz w:val="20"/>
      </w:rPr>
      <w:t>Formulario CMS 10123-NOMNC</w:t>
    </w:r>
    <w:r w:rsidRPr="00345CC4">
      <w:rPr>
        <w:rFonts w:ascii="Times New Roman" w:hAnsi="Times New Roman"/>
        <w:b w:val="0"/>
        <w:sz w:val="20"/>
        <w:szCs w:val="20"/>
      </w:rPr>
      <w:tab/>
    </w:r>
    <w:r w:rsidRPr="00345CC4">
      <w:rPr>
        <w:rFonts w:ascii="Times New Roman" w:hAnsi="Times New Roman"/>
        <w:b w:val="0"/>
        <w:sz w:val="20"/>
        <w:szCs w:val="20"/>
      </w:rPr>
      <w:tab/>
    </w:r>
    <w:r>
      <w:rPr>
        <w:rFonts w:ascii="Times New Roman" w:hAnsi="Times New Roman"/>
        <w:b w:val="0"/>
        <w:sz w:val="20"/>
      </w:rPr>
      <w:t xml:space="preserve"> </w:t>
    </w:r>
    <w:r w:rsidRPr="00345CC4">
      <w:rPr>
        <w:rFonts w:ascii="Times New Roman" w:hAnsi="Times New Roman"/>
        <w:b w:val="0"/>
        <w:sz w:val="20"/>
        <w:szCs w:val="20"/>
      </w:rPr>
      <w:tab/>
    </w:r>
    <w:r w:rsidRPr="00345CC4">
      <w:rPr>
        <w:rFonts w:ascii="Times New Roman" w:hAnsi="Times New Roman"/>
        <w:b w:val="0"/>
        <w:sz w:val="20"/>
        <w:szCs w:val="20"/>
      </w:rPr>
      <w:tab/>
    </w:r>
    <w:r>
      <w:rPr>
        <w:rFonts w:ascii="Times New Roman" w:hAnsi="Times New Roman"/>
        <w:b w:val="0"/>
        <w:sz w:val="20"/>
      </w:rPr>
      <w:t xml:space="preserve"> </w:t>
    </w:r>
    <w:r>
      <w:rPr>
        <w:rFonts w:ascii="Times New Roman" w:hAnsi="Times New Roman"/>
        <w:b w:val="0"/>
        <w:sz w:val="20"/>
        <w:szCs w:val="20"/>
      </w:rPr>
      <w:tab/>
    </w:r>
    <w:r>
      <w:rPr>
        <w:rFonts w:ascii="Times New Roman" w:hAnsi="Times New Roman"/>
        <w:b w:val="0"/>
        <w:sz w:val="20"/>
      </w:rPr>
      <w:t>Número de aprobación de la OMB 0938-0953</w:t>
    </w:r>
  </w:p>
  <w:p w14:paraId="18AD1500" w14:textId="65139CEE" w:rsidR="00345CC4" w:rsidRPr="00345CC4" w:rsidRDefault="00345CC4" w:rsidP="00345CC4">
    <w:pPr>
      <w:pStyle w:val="Footer"/>
      <w:rPr>
        <w:sz w:val="20"/>
        <w:szCs w:val="20"/>
      </w:rPr>
    </w:pPr>
    <w:r w:rsidRPr="00345CC4">
      <w:rPr>
        <w:sz w:val="28"/>
        <w:szCs w:val="28"/>
      </w:rPr>
      <w:tab/>
    </w:r>
    <w:r w:rsidRPr="00345CC4">
      <w:rPr>
        <w:sz w:val="28"/>
        <w:szCs w:val="28"/>
      </w:rPr>
      <w:tab/>
    </w:r>
    <w:r>
      <w:rPr>
        <w:sz w:val="20"/>
      </w:rPr>
      <w:t>Vence el 30 de noviembre de 2027</w:t>
    </w:r>
  </w:p>
  <w:p w14:paraId="5D4A574F" w14:textId="77777777" w:rsidR="00345CC4" w:rsidRPr="00345CC4" w:rsidRDefault="00345CC4" w:rsidP="00345CC4">
    <w:pPr>
      <w:pStyle w:val="Footer"/>
      <w:rPr>
        <w:rFonts w:ascii="Verdana" w:hAnsi="Verdana"/>
        <w:sz w:val="18"/>
        <w:szCs w:val="18"/>
      </w:rPr>
    </w:pPr>
  </w:p>
  <w:p w14:paraId="27975CC2" w14:textId="77777777" w:rsidR="00345CC4" w:rsidRDefault="00345CC4" w:rsidP="00345CC4">
    <w:pPr>
      <w:pStyle w:val="Footer"/>
      <w:ind w:right="450"/>
    </w:pPr>
  </w:p>
  <w:p w14:paraId="5073D220" w14:textId="49889AF2" w:rsidR="008077E0" w:rsidRPr="00353472" w:rsidRDefault="008077E0" w:rsidP="00232013">
    <w:pPr>
      <w:pStyle w:val="Footer"/>
      <w:ind w:right="450"/>
      <w:jc w:val="right"/>
    </w:pPr>
    <w:r>
      <w:t xml:space="preserve">Página </w:t>
    </w:r>
    <w:r w:rsidRPr="00353472">
      <w:fldChar w:fldCharType="begin"/>
    </w:r>
    <w:r w:rsidRPr="00353472">
      <w:instrText xml:space="preserve"> PAGE  \* Arabic  \* MERGEFORMAT </w:instrText>
    </w:r>
    <w:r w:rsidRPr="00353472">
      <w:fldChar w:fldCharType="separate"/>
    </w:r>
    <w:r>
      <w:t>1</w:t>
    </w:r>
    <w:r w:rsidRPr="00353472">
      <w:fldChar w:fldCharType="end"/>
    </w:r>
    <w:r>
      <w:t xml:space="preserve"> de </w:t>
    </w:r>
    <w:r w:rsidR="004270E6">
      <w:fldChar w:fldCharType="begin"/>
    </w:r>
    <w:r w:rsidR="004270E6">
      <w:instrText xml:space="preserve"> NUMPAGES  \* Arabic  \* MERGEFORMAT </w:instrText>
    </w:r>
    <w:r w:rsidR="004270E6">
      <w:fldChar w:fldCharType="separate"/>
    </w:r>
    <w:r>
      <w:t>2</w:t>
    </w:r>
    <w:r w:rsidR="004270E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3076" w14:textId="744956A1" w:rsidR="006379D0" w:rsidRPr="00345CC4" w:rsidRDefault="006379D0" w:rsidP="006379D0">
    <w:pPr>
      <w:pStyle w:val="Body3"/>
      <w:jc w:val="left"/>
      <w:rPr>
        <w:rFonts w:ascii="Times New Roman" w:hAnsi="Times New Roman" w:cs="Times New Roman"/>
        <w:b w:val="0"/>
        <w:sz w:val="20"/>
        <w:szCs w:val="20"/>
      </w:rPr>
    </w:pPr>
    <w:bookmarkStart w:id="6" w:name="_Hlk139635336"/>
    <w:r>
      <w:rPr>
        <w:rFonts w:ascii="Times New Roman" w:hAnsi="Times New Roman"/>
        <w:b w:val="0"/>
        <w:sz w:val="20"/>
      </w:rPr>
      <w:t>Formulario CMS 10123-NOMNC</w:t>
    </w:r>
    <w:r w:rsidRPr="00345CC4">
      <w:rPr>
        <w:rFonts w:ascii="Times New Roman" w:hAnsi="Times New Roman"/>
        <w:b w:val="0"/>
        <w:sz w:val="20"/>
        <w:szCs w:val="20"/>
      </w:rPr>
      <w:tab/>
    </w:r>
    <w:r w:rsidRPr="00345CC4">
      <w:rPr>
        <w:rFonts w:ascii="Times New Roman" w:hAnsi="Times New Roman"/>
        <w:b w:val="0"/>
        <w:sz w:val="20"/>
        <w:szCs w:val="20"/>
      </w:rPr>
      <w:tab/>
    </w:r>
    <w:r>
      <w:rPr>
        <w:rFonts w:ascii="Times New Roman" w:hAnsi="Times New Roman"/>
        <w:b w:val="0"/>
        <w:sz w:val="20"/>
      </w:rPr>
      <w:t xml:space="preserve"> </w:t>
    </w:r>
    <w:r w:rsidRPr="00345CC4">
      <w:rPr>
        <w:rFonts w:ascii="Times New Roman" w:hAnsi="Times New Roman"/>
        <w:b w:val="0"/>
        <w:sz w:val="20"/>
        <w:szCs w:val="20"/>
      </w:rPr>
      <w:tab/>
    </w:r>
    <w:r w:rsidRPr="00345CC4">
      <w:rPr>
        <w:rFonts w:ascii="Times New Roman" w:hAnsi="Times New Roman"/>
        <w:b w:val="0"/>
        <w:sz w:val="20"/>
        <w:szCs w:val="20"/>
      </w:rPr>
      <w:tab/>
    </w:r>
    <w:r>
      <w:rPr>
        <w:rFonts w:ascii="Times New Roman" w:hAnsi="Times New Roman"/>
        <w:b w:val="0"/>
        <w:sz w:val="20"/>
      </w:rPr>
      <w:t xml:space="preserve"> </w:t>
    </w:r>
    <w:r w:rsidR="00345CC4">
      <w:rPr>
        <w:rFonts w:ascii="Times New Roman" w:hAnsi="Times New Roman"/>
        <w:b w:val="0"/>
        <w:sz w:val="20"/>
        <w:szCs w:val="20"/>
      </w:rPr>
      <w:tab/>
    </w:r>
    <w:r>
      <w:rPr>
        <w:rFonts w:ascii="Times New Roman" w:hAnsi="Times New Roman"/>
        <w:b w:val="0"/>
        <w:sz w:val="20"/>
      </w:rPr>
      <w:t>Número de aprobación de la OMB 0938-0953</w:t>
    </w:r>
  </w:p>
  <w:p w14:paraId="6EB99A08" w14:textId="27B81AC5" w:rsidR="006379D0" w:rsidRPr="006379D0" w:rsidRDefault="006379D0" w:rsidP="006379D0">
    <w:pPr>
      <w:pStyle w:val="Footer"/>
      <w:rPr>
        <w:rFonts w:ascii="Verdana" w:hAnsi="Verdana"/>
        <w:sz w:val="18"/>
        <w:szCs w:val="18"/>
      </w:rPr>
    </w:pPr>
    <w:r w:rsidRPr="00345CC4">
      <w:rPr>
        <w:sz w:val="28"/>
        <w:szCs w:val="28"/>
      </w:rPr>
      <w:tab/>
    </w:r>
    <w:r w:rsidRPr="00345CC4">
      <w:rPr>
        <w:sz w:val="28"/>
        <w:szCs w:val="28"/>
      </w:rPr>
      <w:tab/>
    </w:r>
    <w:r>
      <w:rPr>
        <w:sz w:val="20"/>
      </w:rPr>
      <w:t>Vence el 30 de noviembre de 2027</w:t>
    </w:r>
  </w:p>
  <w:p w14:paraId="2A948685" w14:textId="77777777" w:rsidR="006379D0" w:rsidRDefault="006379D0" w:rsidP="00353472">
    <w:pPr>
      <w:pStyle w:val="Footer"/>
      <w:tabs>
        <w:tab w:val="clear" w:pos="9360"/>
        <w:tab w:val="right" w:pos="10440"/>
      </w:tabs>
      <w:ind w:firstLine="360"/>
      <w:jc w:val="center"/>
      <w:rPr>
        <w:sz w:val="22"/>
        <w:szCs w:val="22"/>
      </w:rPr>
    </w:pPr>
  </w:p>
  <w:p w14:paraId="49DF0A44" w14:textId="298A28E3" w:rsidR="0003443F" w:rsidRDefault="00353472" w:rsidP="0003443F">
    <w:pPr>
      <w:pStyle w:val="Footer"/>
      <w:tabs>
        <w:tab w:val="clear" w:pos="9360"/>
        <w:tab w:val="right" w:pos="10440"/>
      </w:tabs>
      <w:ind w:firstLine="360"/>
      <w:rPr>
        <w:sz w:val="22"/>
      </w:rPr>
    </w:pPr>
    <w:r>
      <w:rPr>
        <w:sz w:val="22"/>
      </w:rPr>
      <w:t xml:space="preserve">©2024 Inland Empire Health Plan. </w:t>
    </w:r>
    <w:r w:rsidR="001509F7">
      <w:rPr>
        <w:sz w:val="22"/>
      </w:rPr>
      <w:t xml:space="preserve">Una </w:t>
    </w:r>
    <w:r>
      <w:rPr>
        <w:sz w:val="22"/>
      </w:rPr>
      <w:t>Entidad Pública. Todos los Derechos Reservados.</w:t>
    </w:r>
    <w:bookmarkEnd w:id="6"/>
  </w:p>
  <w:p w14:paraId="6612D1B6" w14:textId="3D8F9F4C" w:rsidR="00353472" w:rsidRPr="00D90069" w:rsidRDefault="00353472" w:rsidP="0003443F">
    <w:pPr>
      <w:pStyle w:val="Footer"/>
      <w:tabs>
        <w:tab w:val="clear" w:pos="9360"/>
        <w:tab w:val="right" w:pos="10440"/>
      </w:tabs>
      <w:ind w:firstLine="360"/>
      <w:rPr>
        <w:sz w:val="28"/>
        <w:szCs w:val="28"/>
      </w:rPr>
    </w:pPr>
    <w:r>
      <w:rPr>
        <w:sz w:val="22"/>
      </w:rPr>
      <w:t xml:space="preserve"> H8894_DSNP_24_ 5594629_C</w:t>
    </w:r>
    <w:r w:rsidR="0003443F">
      <w:rPr>
        <w:sz w:val="22"/>
      </w:rPr>
      <w:t>_IPA_SP</w:t>
    </w:r>
  </w:p>
  <w:p w14:paraId="6A1AA19C" w14:textId="66159C1C" w:rsidR="008077E0" w:rsidRPr="00E01938" w:rsidRDefault="008077E0" w:rsidP="00353472">
    <w:pPr>
      <w:pStyle w:val="Footer"/>
      <w:tabs>
        <w:tab w:val="clear" w:pos="9360"/>
        <w:tab w:val="right" w:pos="10440"/>
      </w:tabs>
      <w:ind w:firstLine="360"/>
      <w:jc w:val="right"/>
    </w:pPr>
    <w:r>
      <w:t xml:space="preserve">Página </w:t>
    </w:r>
    <w:r w:rsidRPr="00353472">
      <w:fldChar w:fldCharType="begin"/>
    </w:r>
    <w:r w:rsidRPr="00353472">
      <w:instrText xml:space="preserve"> PAGE  \* Arabic  \* MERGEFORMAT </w:instrText>
    </w:r>
    <w:r w:rsidRPr="00353472">
      <w:fldChar w:fldCharType="separate"/>
    </w:r>
    <w:r>
      <w:t>1</w:t>
    </w:r>
    <w:r w:rsidRPr="00353472">
      <w:fldChar w:fldCharType="end"/>
    </w:r>
    <w:r>
      <w:t xml:space="preserve"> de </w:t>
    </w:r>
    <w:r w:rsidR="004270E6">
      <w:fldChar w:fldCharType="begin"/>
    </w:r>
    <w:r w:rsidR="004270E6">
      <w:instrText xml:space="preserve"> NUMPAGES  \* Arabic  \* MERGEFORMAT </w:instrText>
    </w:r>
    <w:r w:rsidR="004270E6">
      <w:fldChar w:fldCharType="separate"/>
    </w:r>
    <w:r>
      <w:t>2</w:t>
    </w:r>
    <w:r w:rsidR="004270E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5C34" w14:textId="77777777" w:rsidR="00AF1031" w:rsidRDefault="00AF1031" w:rsidP="00642385">
      <w:r>
        <w:separator/>
      </w:r>
    </w:p>
  </w:footnote>
  <w:footnote w:type="continuationSeparator" w:id="0">
    <w:p w14:paraId="3E596FA0" w14:textId="77777777" w:rsidR="00AF1031" w:rsidRDefault="00AF1031" w:rsidP="0064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ABBE" w14:textId="444D4E25" w:rsidR="00642385" w:rsidRDefault="00642385" w:rsidP="0064238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E406" w14:textId="7C14E5B9" w:rsidR="00C0223D" w:rsidRPr="00BA7F1E" w:rsidRDefault="007E495C" w:rsidP="00C0223D">
    <w:pPr>
      <w:pStyle w:val="Header"/>
      <w:jc w:val="center"/>
      <w:rPr>
        <w:b/>
        <w:bCs/>
        <w:sz w:val="32"/>
        <w:szCs w:val="32"/>
      </w:rPr>
    </w:pPr>
    <w:r w:rsidRPr="00BA7F1E">
      <w:rPr>
        <w:b/>
        <w:bCs/>
        <w:sz w:val="32"/>
        <w:szCs w:val="32"/>
      </w:rPr>
      <w:t>&lt;&lt; IPA LOGO &gt;&gt;</w:t>
    </w:r>
  </w:p>
  <w:p w14:paraId="206678BF" w14:textId="77777777" w:rsidR="00C0223D" w:rsidRPr="00BA7F1E" w:rsidRDefault="00C0223D" w:rsidP="00C0223D">
    <w:pPr>
      <w:pStyle w:val="Header"/>
      <w:jc w:val="center"/>
    </w:pPr>
    <w:bookmarkStart w:id="4" w:name="_Hlk109723777"/>
    <w:bookmarkStart w:id="5" w:name="_Hlk109723778"/>
  </w:p>
  <w:p w14:paraId="16330491" w14:textId="77777777" w:rsidR="00C0223D" w:rsidRPr="00BA7F1E" w:rsidRDefault="00C0223D" w:rsidP="00C0223D">
    <w:pPr>
      <w:pStyle w:val="Header"/>
      <w:jc w:val="center"/>
    </w:pPr>
  </w:p>
  <w:p w14:paraId="3E42E599" w14:textId="77777777" w:rsidR="00C0223D" w:rsidRPr="00BA7F1E" w:rsidRDefault="00C0223D" w:rsidP="00C0223D">
    <w:pPr>
      <w:pStyle w:val="Header"/>
    </w:pPr>
  </w:p>
  <w:p w14:paraId="276EFDE5" w14:textId="77777777" w:rsidR="00C0223D" w:rsidRPr="00BA7F1E" w:rsidRDefault="00C0223D" w:rsidP="00C0223D">
    <w:pPr>
      <w:pStyle w:val="Header"/>
      <w:jc w:val="right"/>
    </w:pPr>
    <w:r w:rsidRPr="00BA7F1E">
      <w:t>&lt;&lt;Date&gt;&gt;</w:t>
    </w:r>
  </w:p>
  <w:p w14:paraId="680EEF77" w14:textId="77777777" w:rsidR="00C0223D" w:rsidRPr="00BA7F1E" w:rsidRDefault="00C0223D" w:rsidP="00C0223D">
    <w:pPr>
      <w:contextualSpacing/>
      <w:rPr>
        <w:rFonts w:ascii="Arial" w:hAnsi="Arial" w:cs="Arial"/>
        <w:sz w:val="28"/>
        <w:szCs w:val="28"/>
      </w:rPr>
    </w:pPr>
  </w:p>
  <w:p w14:paraId="200587B1" w14:textId="77777777" w:rsidR="00C0223D" w:rsidRPr="00BA7F1E" w:rsidRDefault="00C0223D" w:rsidP="00C0223D">
    <w:pPr>
      <w:contextualSpacing/>
    </w:pPr>
  </w:p>
  <w:p w14:paraId="0F335484" w14:textId="77777777" w:rsidR="00C0223D" w:rsidRPr="00BA7F1E" w:rsidRDefault="00C0223D" w:rsidP="00C0223D">
    <w:pPr>
      <w:contextualSpacing/>
    </w:pPr>
    <w:r w:rsidRPr="00BA7F1E">
      <w:t>&lt;&lt;Member Name&gt;&gt;</w:t>
    </w:r>
    <w:r w:rsidRPr="00BA7F1E">
      <w:tab/>
      <w:t xml:space="preserve">                      </w:t>
    </w:r>
    <w:r w:rsidRPr="00BA7F1E">
      <w:tab/>
    </w:r>
    <w:r w:rsidRPr="00BA7F1E">
      <w:tab/>
    </w:r>
    <w:r w:rsidRPr="00BA7F1E">
      <w:tab/>
    </w:r>
    <w:r w:rsidRPr="00BA7F1E">
      <w:tab/>
      <w:t xml:space="preserve"> </w:t>
    </w:r>
    <w:r w:rsidRPr="00BA7F1E">
      <w:tab/>
    </w:r>
  </w:p>
  <w:p w14:paraId="3F3DFCCF" w14:textId="77777777" w:rsidR="00C0223D" w:rsidRPr="00BA7F1E" w:rsidRDefault="00C0223D" w:rsidP="00C0223D">
    <w:pPr>
      <w:contextualSpacing/>
    </w:pPr>
    <w:r w:rsidRPr="00BA7F1E">
      <w:t>&lt;&lt;Address Line 1&gt;&gt; &lt;&lt;Address Line 2&gt;&gt;</w:t>
    </w:r>
  </w:p>
  <w:p w14:paraId="25F775C3" w14:textId="6756F16D" w:rsidR="00642385" w:rsidRPr="00BA7F1E" w:rsidRDefault="00C0223D" w:rsidP="00C0223D">
    <w:pPr>
      <w:contextualSpacing/>
    </w:pPr>
    <w:r w:rsidRPr="00BA7F1E">
      <w:t xml:space="preserve">&lt;&lt;City&gt;&gt;, &lt;&lt;ST&gt;&gt; &lt;&lt;Zip&gt;&gt; </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56CA4"/>
    <w:multiLevelType w:val="hybridMultilevel"/>
    <w:tmpl w:val="C55C0256"/>
    <w:lvl w:ilvl="0" w:tplc="1BEA53E8">
      <w:numFmt w:val="bullet"/>
      <w:pStyle w:val="Bullet4"/>
      <w:lvlText w:val="•"/>
      <w:lvlJc w:val="left"/>
      <w:pPr>
        <w:ind w:left="120" w:hanging="360"/>
      </w:pPr>
      <w:rPr>
        <w:rFonts w:ascii="Times New Roman" w:eastAsia="Times New Roman" w:hAnsi="Times New Roman" w:cs="Times New Roman" w:hint="default"/>
        <w:b w:val="0"/>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6C2B707E"/>
    <w:multiLevelType w:val="hybridMultilevel"/>
    <w:tmpl w:val="A98E57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291325830">
    <w:abstractNumId w:val="0"/>
  </w:num>
  <w:num w:numId="2" w16cid:durableId="789280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85"/>
    <w:rsid w:val="000174F3"/>
    <w:rsid w:val="00033979"/>
    <w:rsid w:val="0003443F"/>
    <w:rsid w:val="001361CE"/>
    <w:rsid w:val="001509F7"/>
    <w:rsid w:val="00182BD8"/>
    <w:rsid w:val="001C25F8"/>
    <w:rsid w:val="00232013"/>
    <w:rsid w:val="00280A27"/>
    <w:rsid w:val="00297943"/>
    <w:rsid w:val="002A1FB5"/>
    <w:rsid w:val="002F77E9"/>
    <w:rsid w:val="00337AC4"/>
    <w:rsid w:val="00345CC4"/>
    <w:rsid w:val="00353472"/>
    <w:rsid w:val="00394D51"/>
    <w:rsid w:val="003A1866"/>
    <w:rsid w:val="003D4C98"/>
    <w:rsid w:val="004270E6"/>
    <w:rsid w:val="00485B72"/>
    <w:rsid w:val="00576CFF"/>
    <w:rsid w:val="006379D0"/>
    <w:rsid w:val="00642385"/>
    <w:rsid w:val="00660076"/>
    <w:rsid w:val="00743039"/>
    <w:rsid w:val="00745069"/>
    <w:rsid w:val="007E495C"/>
    <w:rsid w:val="008077E0"/>
    <w:rsid w:val="00977DD2"/>
    <w:rsid w:val="00AB663D"/>
    <w:rsid w:val="00AF1031"/>
    <w:rsid w:val="00B8030A"/>
    <w:rsid w:val="00BA7F1E"/>
    <w:rsid w:val="00C0223D"/>
    <w:rsid w:val="00C277A2"/>
    <w:rsid w:val="00CF2037"/>
    <w:rsid w:val="00D90069"/>
    <w:rsid w:val="00E01938"/>
    <w:rsid w:val="00E07E84"/>
    <w:rsid w:val="00E90CCD"/>
    <w:rsid w:val="00EA094D"/>
    <w:rsid w:val="00F71878"/>
    <w:rsid w:val="00FA4275"/>
    <w:rsid w:val="00FE3228"/>
    <w:rsid w:val="00FF3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6F825"/>
  <w15:chartTrackingRefBased/>
  <w15:docId w15:val="{76F0F8A3-9A88-4671-A61E-42D02D2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2385"/>
    <w:pPr>
      <w:keepNext/>
      <w:spacing w:before="120"/>
      <w:jc w:val="center"/>
      <w:outlineLvl w:val="0"/>
    </w:pPr>
    <w:rPr>
      <w:rFonts w:ascii="Arial" w:hAnsi="Arial"/>
      <w:b/>
      <w:bCs/>
      <w:kern w:val="32"/>
      <w:sz w:val="28"/>
      <w:szCs w:val="32"/>
    </w:rPr>
  </w:style>
  <w:style w:type="paragraph" w:styleId="Heading2">
    <w:name w:val="heading 2"/>
    <w:basedOn w:val="Normal"/>
    <w:next w:val="Normal"/>
    <w:link w:val="Heading2Char"/>
    <w:unhideWhenUsed/>
    <w:qFormat/>
    <w:rsid w:val="00642385"/>
    <w:pPr>
      <w:keepNext/>
      <w:spacing w:before="240" w:after="60"/>
      <w:outlineLvl w:val="1"/>
    </w:pPr>
    <w:rPr>
      <w:rFonts w:ascii="Arial" w:hAnsi="Arial"/>
      <w:b/>
      <w:bCs/>
      <w:iCs/>
      <w:szCs w:val="28"/>
    </w:rPr>
  </w:style>
  <w:style w:type="paragraph" w:styleId="Heading3">
    <w:name w:val="heading 3"/>
    <w:basedOn w:val="Normal"/>
    <w:next w:val="Normal"/>
    <w:link w:val="Heading3Char"/>
    <w:qFormat/>
    <w:rsid w:val="00642385"/>
    <w:pPr>
      <w:keepNext/>
      <w:widowControl w:val="0"/>
      <w:tabs>
        <w:tab w:val="left" w:pos="-720"/>
      </w:tabs>
      <w:suppressAutoHyphens/>
      <w:spacing w:line="218" w:lineRule="auto"/>
      <w:jc w:val="center"/>
      <w:outlineLvl w:val="2"/>
    </w:pPr>
    <w:rPr>
      <w:rFonts w:ascii="Arial" w:hAnsi="Arial"/>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385"/>
    <w:rPr>
      <w:rFonts w:ascii="Arial" w:eastAsia="Times New Roman" w:hAnsi="Arial" w:cs="Times New Roman"/>
      <w:b/>
      <w:bCs/>
      <w:kern w:val="32"/>
      <w:sz w:val="28"/>
      <w:szCs w:val="32"/>
    </w:rPr>
  </w:style>
  <w:style w:type="character" w:customStyle="1" w:styleId="Heading2Char">
    <w:name w:val="Heading 2 Char"/>
    <w:basedOn w:val="DefaultParagraphFont"/>
    <w:link w:val="Heading2"/>
    <w:rsid w:val="00642385"/>
    <w:rPr>
      <w:rFonts w:ascii="Arial" w:eastAsia="Times New Roman" w:hAnsi="Arial" w:cs="Times New Roman"/>
      <w:b/>
      <w:bCs/>
      <w:iCs/>
      <w:sz w:val="24"/>
      <w:szCs w:val="28"/>
    </w:rPr>
  </w:style>
  <w:style w:type="character" w:customStyle="1" w:styleId="Heading3Char">
    <w:name w:val="Heading 3 Char"/>
    <w:basedOn w:val="DefaultParagraphFont"/>
    <w:link w:val="Heading3"/>
    <w:rsid w:val="00642385"/>
    <w:rPr>
      <w:rFonts w:ascii="Arial" w:eastAsia="Times New Roman" w:hAnsi="Arial" w:cs="Times New Roman"/>
      <w:snapToGrid w:val="0"/>
      <w:sz w:val="24"/>
      <w:szCs w:val="20"/>
    </w:rPr>
  </w:style>
  <w:style w:type="paragraph" w:customStyle="1" w:styleId="Style0">
    <w:name w:val="Style0"/>
    <w:rsid w:val="00642385"/>
    <w:pPr>
      <w:spacing w:after="0" w:line="240" w:lineRule="auto"/>
    </w:pPr>
    <w:rPr>
      <w:rFonts w:ascii="Arial" w:eastAsia="Times New Roman" w:hAnsi="Arial" w:cs="Times New Roman"/>
      <w:snapToGrid w:val="0"/>
      <w:sz w:val="24"/>
      <w:szCs w:val="20"/>
    </w:rPr>
  </w:style>
  <w:style w:type="paragraph" w:customStyle="1" w:styleId="Body1">
    <w:name w:val="Body 1"/>
    <w:basedOn w:val="Style0"/>
    <w:qFormat/>
    <w:rsid w:val="00642385"/>
    <w:pPr>
      <w:widowControl w:val="0"/>
      <w:tabs>
        <w:tab w:val="left" w:pos="90"/>
      </w:tabs>
      <w:ind w:left="90"/>
    </w:pPr>
    <w:rPr>
      <w:bCs/>
      <w:sz w:val="28"/>
    </w:rPr>
  </w:style>
  <w:style w:type="paragraph" w:customStyle="1" w:styleId="Bullet1">
    <w:name w:val="Bullet 1"/>
    <w:basedOn w:val="Body1"/>
    <w:qFormat/>
    <w:rsid w:val="00642385"/>
    <w:rPr>
      <w:sz w:val="24"/>
    </w:rPr>
  </w:style>
  <w:style w:type="paragraph" w:customStyle="1" w:styleId="Bullet2">
    <w:name w:val="Bullet 2"/>
    <w:basedOn w:val="EndnoteText"/>
    <w:qFormat/>
    <w:rsid w:val="00642385"/>
    <w:pPr>
      <w:widowControl w:val="0"/>
    </w:pPr>
    <w:rPr>
      <w:rFonts w:ascii="Arial" w:hAnsi="Arial"/>
      <w:snapToGrid w:val="0"/>
      <w:sz w:val="24"/>
    </w:rPr>
  </w:style>
  <w:style w:type="paragraph" w:customStyle="1" w:styleId="Body2">
    <w:name w:val="Body 2"/>
    <w:basedOn w:val="Heading3"/>
    <w:qFormat/>
    <w:rsid w:val="00642385"/>
    <w:pPr>
      <w:tabs>
        <w:tab w:val="clear" w:pos="-720"/>
        <w:tab w:val="left" w:pos="-810"/>
        <w:tab w:val="left" w:pos="360"/>
      </w:tabs>
      <w:spacing w:before="120"/>
      <w:ind w:left="360"/>
      <w:jc w:val="left"/>
    </w:pPr>
    <w:rPr>
      <w:sz w:val="28"/>
    </w:rPr>
  </w:style>
  <w:style w:type="paragraph" w:customStyle="1" w:styleId="Bullet3">
    <w:name w:val="Bullet 3"/>
    <w:basedOn w:val="Normal"/>
    <w:qFormat/>
    <w:rsid w:val="00642385"/>
    <w:rPr>
      <w:rFonts w:ascii="Arial" w:hAnsi="Arial"/>
    </w:rPr>
  </w:style>
  <w:style w:type="paragraph" w:customStyle="1" w:styleId="Bullet4">
    <w:name w:val="Bullet 4"/>
    <w:basedOn w:val="Normal"/>
    <w:qFormat/>
    <w:rsid w:val="00642385"/>
    <w:pPr>
      <w:widowControl w:val="0"/>
      <w:numPr>
        <w:numId w:val="1"/>
      </w:numPr>
      <w:tabs>
        <w:tab w:val="left" w:pos="1080"/>
      </w:tabs>
      <w:ind w:left="1080" w:hanging="630"/>
    </w:pPr>
    <w:rPr>
      <w:rFonts w:ascii="Arial" w:hAnsi="Arial" w:cs="Arial"/>
    </w:rPr>
  </w:style>
  <w:style w:type="paragraph" w:styleId="EndnoteText">
    <w:name w:val="endnote text"/>
    <w:basedOn w:val="Normal"/>
    <w:link w:val="EndnoteTextChar"/>
    <w:uiPriority w:val="99"/>
    <w:semiHidden/>
    <w:unhideWhenUsed/>
    <w:rsid w:val="00642385"/>
    <w:rPr>
      <w:sz w:val="20"/>
      <w:szCs w:val="20"/>
    </w:rPr>
  </w:style>
  <w:style w:type="character" w:customStyle="1" w:styleId="EndnoteTextChar">
    <w:name w:val="Endnote Text Char"/>
    <w:basedOn w:val="DefaultParagraphFont"/>
    <w:link w:val="EndnoteText"/>
    <w:uiPriority w:val="99"/>
    <w:semiHidden/>
    <w:rsid w:val="0064238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42385"/>
    <w:pPr>
      <w:tabs>
        <w:tab w:val="center" w:pos="4680"/>
        <w:tab w:val="right" w:pos="9360"/>
      </w:tabs>
    </w:pPr>
  </w:style>
  <w:style w:type="character" w:customStyle="1" w:styleId="HeaderChar">
    <w:name w:val="Header Char"/>
    <w:basedOn w:val="DefaultParagraphFont"/>
    <w:link w:val="Header"/>
    <w:uiPriority w:val="99"/>
    <w:rsid w:val="00642385"/>
    <w:rPr>
      <w:rFonts w:ascii="Times New Roman" w:eastAsia="Times New Roman" w:hAnsi="Times New Roman" w:cs="Times New Roman"/>
      <w:sz w:val="24"/>
      <w:szCs w:val="24"/>
    </w:rPr>
  </w:style>
  <w:style w:type="paragraph" w:styleId="Footer">
    <w:name w:val="footer"/>
    <w:basedOn w:val="Normal"/>
    <w:link w:val="FooterChar"/>
    <w:unhideWhenUsed/>
    <w:rsid w:val="00642385"/>
    <w:pPr>
      <w:tabs>
        <w:tab w:val="center" w:pos="4680"/>
        <w:tab w:val="right" w:pos="9360"/>
      </w:tabs>
    </w:pPr>
  </w:style>
  <w:style w:type="character" w:customStyle="1" w:styleId="FooterChar">
    <w:name w:val="Footer Char"/>
    <w:basedOn w:val="DefaultParagraphFont"/>
    <w:link w:val="Footer"/>
    <w:rsid w:val="00642385"/>
    <w:rPr>
      <w:rFonts w:ascii="Times New Roman" w:eastAsia="Times New Roman" w:hAnsi="Times New Roman" w:cs="Times New Roman"/>
      <w:sz w:val="24"/>
      <w:szCs w:val="24"/>
    </w:rPr>
  </w:style>
  <w:style w:type="paragraph" w:customStyle="1" w:styleId="Body4">
    <w:name w:val="Body 4"/>
    <w:basedOn w:val="Normal"/>
    <w:qFormat/>
    <w:rsid w:val="00642385"/>
    <w:pPr>
      <w:ind w:firstLine="450"/>
    </w:pPr>
    <w:rPr>
      <w:rFonts w:ascii="Arial" w:hAnsi="Arial" w:cs="Arial"/>
      <w:sz w:val="28"/>
      <w:szCs w:val="28"/>
    </w:rPr>
  </w:style>
  <w:style w:type="paragraph" w:customStyle="1" w:styleId="Body5">
    <w:name w:val="Body 5"/>
    <w:basedOn w:val="Body4"/>
    <w:qFormat/>
    <w:rsid w:val="00642385"/>
    <w:pPr>
      <w:ind w:firstLine="0"/>
    </w:pPr>
  </w:style>
  <w:style w:type="paragraph" w:styleId="ListParagraph">
    <w:name w:val="List Paragraph"/>
    <w:basedOn w:val="Normal"/>
    <w:uiPriority w:val="34"/>
    <w:qFormat/>
    <w:rsid w:val="006379D0"/>
    <w:pPr>
      <w:ind w:left="720"/>
      <w:contextualSpacing/>
    </w:pPr>
  </w:style>
  <w:style w:type="paragraph" w:customStyle="1" w:styleId="Body3">
    <w:name w:val="Body 3"/>
    <w:basedOn w:val="BodyText3"/>
    <w:qFormat/>
    <w:rsid w:val="006379D0"/>
    <w:pPr>
      <w:widowControl w:val="0"/>
      <w:tabs>
        <w:tab w:val="left" w:pos="-720"/>
        <w:tab w:val="left" w:pos="0"/>
        <w:tab w:val="left" w:pos="90"/>
      </w:tabs>
      <w:suppressAutoHyphens/>
      <w:spacing w:after="0" w:line="218" w:lineRule="auto"/>
      <w:jc w:val="center"/>
    </w:pPr>
    <w:rPr>
      <w:rFonts w:ascii="Arial" w:hAnsi="Arial" w:cs="Arial"/>
      <w:b/>
      <w:bCs/>
      <w:snapToGrid w:val="0"/>
      <w:sz w:val="24"/>
      <w:szCs w:val="24"/>
    </w:rPr>
  </w:style>
  <w:style w:type="paragraph" w:styleId="BodyText3">
    <w:name w:val="Body Text 3"/>
    <w:basedOn w:val="Normal"/>
    <w:link w:val="BodyText3Char"/>
    <w:uiPriority w:val="99"/>
    <w:semiHidden/>
    <w:unhideWhenUsed/>
    <w:rsid w:val="006379D0"/>
    <w:pPr>
      <w:spacing w:after="120"/>
    </w:pPr>
    <w:rPr>
      <w:sz w:val="16"/>
      <w:szCs w:val="16"/>
    </w:rPr>
  </w:style>
  <w:style w:type="character" w:customStyle="1" w:styleId="BodyText3Char">
    <w:name w:val="Body Text 3 Char"/>
    <w:basedOn w:val="DefaultParagraphFont"/>
    <w:link w:val="BodyText3"/>
    <w:uiPriority w:val="99"/>
    <w:semiHidden/>
    <w:rsid w:val="006379D0"/>
    <w:rPr>
      <w:rFonts w:ascii="Times New Roman" w:eastAsia="Times New Roman" w:hAnsi="Times New Roman" w:cs="Times New Roman"/>
      <w:sz w:val="16"/>
      <w:szCs w:val="16"/>
    </w:rPr>
  </w:style>
  <w:style w:type="character" w:styleId="Hyperlink">
    <w:name w:val="Hyperlink"/>
    <w:basedOn w:val="DefaultParagraphFont"/>
    <w:uiPriority w:val="99"/>
    <w:unhideWhenUsed/>
    <w:rsid w:val="00345CC4"/>
    <w:rPr>
      <w:color w:val="0563C1" w:themeColor="hyperlink"/>
      <w:u w:val="single"/>
    </w:rPr>
  </w:style>
  <w:style w:type="character" w:styleId="UnresolvedMention">
    <w:name w:val="Unresolved Mention"/>
    <w:basedOn w:val="DefaultParagraphFont"/>
    <w:uiPriority w:val="99"/>
    <w:semiHidden/>
    <w:unhideWhenUsed/>
    <w:rsid w:val="0034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357</Words>
  <Characters>3221</Characters>
  <Application>Microsoft Office Word</Application>
  <DocSecurity>0</DocSecurity>
  <Lines>1073</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Menezes</dc:creator>
  <cp:keywords/>
  <dc:description/>
  <cp:lastModifiedBy>Sharpria Gibson</cp:lastModifiedBy>
  <cp:revision>8</cp:revision>
  <dcterms:created xsi:type="dcterms:W3CDTF">2025-01-13T17:55:00Z</dcterms:created>
  <dcterms:modified xsi:type="dcterms:W3CDTF">2025-02-05T20:33:00Z</dcterms:modified>
</cp:coreProperties>
</file>